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2355" w14:textId="77777777" w:rsidR="00FC5B58" w:rsidRDefault="00FC5B58">
      <w:pPr>
        <w:spacing w:after="0" w:line="240" w:lineRule="auto"/>
        <w:rPr>
          <w:sz w:val="16"/>
          <w:szCs w:val="16"/>
        </w:rPr>
      </w:pPr>
    </w:p>
    <w:p w14:paraId="5EAF5EF3" w14:textId="77777777" w:rsidR="00FC5B58" w:rsidRDefault="00FC5B58">
      <w:pPr>
        <w:spacing w:after="0" w:line="240" w:lineRule="auto"/>
        <w:rPr>
          <w:b/>
          <w:sz w:val="8"/>
          <w:szCs w:val="8"/>
        </w:rPr>
      </w:pPr>
    </w:p>
    <w:tbl>
      <w:tblPr>
        <w:tblStyle w:val="a3"/>
        <w:tblW w:w="10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180"/>
        <w:gridCol w:w="1872"/>
        <w:gridCol w:w="7830"/>
      </w:tblGrid>
      <w:tr w:rsidR="00FC5B58" w14:paraId="3D3948C9" w14:textId="77777777">
        <w:tc>
          <w:tcPr>
            <w:tcW w:w="1003" w:type="dxa"/>
            <w:shd w:val="clear" w:color="auto" w:fill="BF0D3E"/>
          </w:tcPr>
          <w:p w14:paraId="08DA7FC6" w14:textId="77777777" w:rsidR="00FC5B58" w:rsidRDefault="00000000">
            <w:pPr>
              <w:jc w:val="center"/>
              <w:rPr>
                <w:b/>
                <w:color w:val="FFFFFF"/>
              </w:rPr>
            </w:pPr>
            <w:r>
              <w:rPr>
                <w:b/>
                <w:color w:val="FFFFFF"/>
              </w:rPr>
              <w:t>Entity ID</w:t>
            </w:r>
          </w:p>
        </w:tc>
        <w:tc>
          <w:tcPr>
            <w:tcW w:w="2052" w:type="dxa"/>
            <w:gridSpan w:val="2"/>
            <w:shd w:val="clear" w:color="auto" w:fill="BF0D3E"/>
          </w:tcPr>
          <w:p w14:paraId="41648D32" w14:textId="77777777" w:rsidR="00FC5B58" w:rsidRDefault="00000000">
            <w:pPr>
              <w:jc w:val="center"/>
              <w:rPr>
                <w:b/>
                <w:color w:val="FFFFFF"/>
              </w:rPr>
            </w:pPr>
            <w:r>
              <w:rPr>
                <w:b/>
                <w:color w:val="FFFFFF"/>
              </w:rPr>
              <w:t>CTDS</w:t>
            </w:r>
          </w:p>
        </w:tc>
        <w:tc>
          <w:tcPr>
            <w:tcW w:w="7830" w:type="dxa"/>
            <w:shd w:val="clear" w:color="auto" w:fill="BF0D3E"/>
          </w:tcPr>
          <w:p w14:paraId="49898ED4" w14:textId="77777777" w:rsidR="00FC5B58" w:rsidRDefault="00000000">
            <w:pPr>
              <w:jc w:val="center"/>
              <w:rPr>
                <w:b/>
                <w:color w:val="FFFFFF"/>
              </w:rPr>
            </w:pPr>
            <w:r>
              <w:rPr>
                <w:b/>
                <w:color w:val="FFFFFF"/>
              </w:rPr>
              <w:t>LEA NAME</w:t>
            </w:r>
          </w:p>
        </w:tc>
      </w:tr>
      <w:tr w:rsidR="00FC5B58" w14:paraId="144C5ACC" w14:textId="77777777">
        <w:tc>
          <w:tcPr>
            <w:tcW w:w="1183" w:type="dxa"/>
            <w:gridSpan w:val="2"/>
          </w:tcPr>
          <w:p w14:paraId="59AA24D4" w14:textId="77777777" w:rsidR="00FC5B58" w:rsidRDefault="00000000">
            <w:pPr>
              <w:jc w:val="center"/>
            </w:pPr>
            <w:r>
              <w:rPr>
                <w:rFonts w:ascii="Roboto" w:eastAsia="Roboto" w:hAnsi="Roboto" w:cs="Roboto"/>
                <w:color w:val="660033"/>
                <w:highlight w:val="white"/>
              </w:rPr>
              <w:t xml:space="preserve">4316 </w:t>
            </w:r>
          </w:p>
        </w:tc>
        <w:tc>
          <w:tcPr>
            <w:tcW w:w="1872" w:type="dxa"/>
          </w:tcPr>
          <w:p w14:paraId="6F53C2BD" w14:textId="77777777" w:rsidR="00FC5B58" w:rsidRDefault="00000000">
            <w:pPr>
              <w:jc w:val="center"/>
            </w:pPr>
            <w:r>
              <w:rPr>
                <w:rFonts w:ascii="Roboto" w:eastAsia="Roboto" w:hAnsi="Roboto" w:cs="Roboto"/>
                <w:color w:val="660033"/>
                <w:highlight w:val="white"/>
              </w:rPr>
              <w:t>078903000</w:t>
            </w:r>
          </w:p>
        </w:tc>
        <w:tc>
          <w:tcPr>
            <w:tcW w:w="7830" w:type="dxa"/>
          </w:tcPr>
          <w:p w14:paraId="7B62B1CF" w14:textId="77777777" w:rsidR="00FC5B58" w:rsidRDefault="00000000">
            <w:pPr>
              <w:jc w:val="center"/>
            </w:pPr>
            <w:r>
              <w:t>New School for the Arts (NSAA)</w:t>
            </w:r>
          </w:p>
        </w:tc>
      </w:tr>
    </w:tbl>
    <w:p w14:paraId="5043FCAE" w14:textId="77777777" w:rsidR="00FC5B58" w:rsidRDefault="00FC5B58">
      <w:pPr>
        <w:spacing w:after="0" w:line="240" w:lineRule="auto"/>
        <w:rPr>
          <w:sz w:val="16"/>
          <w:szCs w:val="16"/>
        </w:rPr>
      </w:pPr>
    </w:p>
    <w:tbl>
      <w:tblPr>
        <w:tblStyle w:val="a4"/>
        <w:tblW w:w="10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890"/>
        <w:gridCol w:w="4590"/>
      </w:tblGrid>
      <w:tr w:rsidR="00FC5B58" w14:paraId="7A99D036" w14:textId="77777777">
        <w:tc>
          <w:tcPr>
            <w:tcW w:w="10885" w:type="dxa"/>
            <w:gridSpan w:val="3"/>
            <w:shd w:val="clear" w:color="auto" w:fill="012169"/>
          </w:tcPr>
          <w:p w14:paraId="5B417E5E" w14:textId="77777777" w:rsidR="00FC5B58" w:rsidRDefault="00000000">
            <w:r>
              <w:rPr>
                <w:color w:val="FFFFFF"/>
              </w:rPr>
              <w:t xml:space="preserve">How the LEA will </w:t>
            </w:r>
            <w:r>
              <w:rPr>
                <w:b/>
                <w:color w:val="FFFFFF"/>
              </w:rPr>
              <w:t>maintain the health and safety of students, educators, and other staff</w:t>
            </w:r>
            <w:r>
              <w:rPr>
                <w:color w:val="FFFFFF"/>
              </w:rPr>
              <w:t xml:space="preserve"> and the </w:t>
            </w:r>
            <w:r>
              <w:rPr>
                <w:b/>
                <w:color w:val="FFFFFF"/>
              </w:rPr>
              <w:t>extent to which</w:t>
            </w:r>
            <w:r>
              <w:rPr>
                <w:color w:val="FFFFFF"/>
              </w:rPr>
              <w:t xml:space="preserve"> it has </w:t>
            </w:r>
            <w:r>
              <w:rPr>
                <w:b/>
                <w:color w:val="FFFFFF"/>
              </w:rPr>
              <w:t>adopted policies, and a description of any such policies</w:t>
            </w:r>
            <w:r>
              <w:rPr>
                <w:color w:val="FFFFFF"/>
              </w:rPr>
              <w:t xml:space="preserve">, on each of the following </w:t>
            </w:r>
            <w:r>
              <w:rPr>
                <w:b/>
                <w:color w:val="FFFFFF"/>
              </w:rPr>
              <w:t>safety recommendations established by the Centers for Disease Control and Prevention (CDC)</w:t>
            </w:r>
          </w:p>
        </w:tc>
      </w:tr>
      <w:tr w:rsidR="00FC5B58" w14:paraId="7ACF6436" w14:textId="77777777">
        <w:tc>
          <w:tcPr>
            <w:tcW w:w="4405" w:type="dxa"/>
            <w:shd w:val="clear" w:color="auto" w:fill="FCAF17"/>
          </w:tcPr>
          <w:p w14:paraId="79D58F51" w14:textId="77777777" w:rsidR="00FC5B58" w:rsidRDefault="00FC5B58">
            <w:pPr>
              <w:rPr>
                <w:b/>
              </w:rPr>
            </w:pPr>
          </w:p>
          <w:p w14:paraId="10E7FF41" w14:textId="77777777" w:rsidR="00FC5B58" w:rsidRDefault="00000000">
            <w:pPr>
              <w:jc w:val="center"/>
              <w:rPr>
                <w:b/>
              </w:rPr>
            </w:pPr>
            <w:r>
              <w:rPr>
                <w:b/>
              </w:rPr>
              <w:t>CDC Safety Recommendations</w:t>
            </w:r>
          </w:p>
        </w:tc>
        <w:tc>
          <w:tcPr>
            <w:tcW w:w="1890" w:type="dxa"/>
            <w:shd w:val="clear" w:color="auto" w:fill="FCAF17"/>
          </w:tcPr>
          <w:p w14:paraId="2F381896" w14:textId="77777777" w:rsidR="00FC5B58" w:rsidRDefault="00000000">
            <w:pPr>
              <w:jc w:val="center"/>
              <w:rPr>
                <w:b/>
              </w:rPr>
            </w:pPr>
            <w:r>
              <w:rPr>
                <w:b/>
              </w:rPr>
              <w:t>Has the LEA Adopted a Policy? (Y/N)</w:t>
            </w:r>
          </w:p>
        </w:tc>
        <w:tc>
          <w:tcPr>
            <w:tcW w:w="4590" w:type="dxa"/>
            <w:shd w:val="clear" w:color="auto" w:fill="FCAF17"/>
          </w:tcPr>
          <w:p w14:paraId="16140045" w14:textId="77777777" w:rsidR="00FC5B58" w:rsidRDefault="00FC5B58">
            <w:pPr>
              <w:jc w:val="center"/>
              <w:rPr>
                <w:b/>
              </w:rPr>
            </w:pPr>
          </w:p>
          <w:p w14:paraId="185B1F60" w14:textId="77777777" w:rsidR="00FC5B58" w:rsidRDefault="00000000">
            <w:pPr>
              <w:jc w:val="center"/>
              <w:rPr>
                <w:b/>
              </w:rPr>
            </w:pPr>
            <w:r>
              <w:rPr>
                <w:b/>
              </w:rPr>
              <w:t>Describe LEA Policy:</w:t>
            </w:r>
          </w:p>
        </w:tc>
      </w:tr>
      <w:tr w:rsidR="00FC5B58" w14:paraId="482FE909" w14:textId="77777777">
        <w:tc>
          <w:tcPr>
            <w:tcW w:w="4405" w:type="dxa"/>
          </w:tcPr>
          <w:p w14:paraId="0144709E" w14:textId="77777777" w:rsidR="00FC5B58" w:rsidRDefault="00000000">
            <w:r>
              <w:t>Universal and correct wearing of masks</w:t>
            </w:r>
          </w:p>
        </w:tc>
        <w:tc>
          <w:tcPr>
            <w:tcW w:w="1890" w:type="dxa"/>
          </w:tcPr>
          <w:p w14:paraId="39A120C2" w14:textId="77777777" w:rsidR="00FC5B58" w:rsidRDefault="00000000">
            <w:r>
              <w:t>Y</w:t>
            </w:r>
          </w:p>
        </w:tc>
        <w:tc>
          <w:tcPr>
            <w:tcW w:w="4590" w:type="dxa"/>
          </w:tcPr>
          <w:p w14:paraId="757297A1" w14:textId="77777777" w:rsidR="00FC5B58" w:rsidRDefault="00000000">
            <w:r>
              <w:t xml:space="preserve">As of July 25, 2023, masks are available to everyone on campus, and it is suggested to everyone to use masks. </w:t>
            </w:r>
          </w:p>
        </w:tc>
      </w:tr>
      <w:tr w:rsidR="00FC5B58" w14:paraId="5891E68B" w14:textId="77777777">
        <w:tc>
          <w:tcPr>
            <w:tcW w:w="4405" w:type="dxa"/>
          </w:tcPr>
          <w:p w14:paraId="710BC752" w14:textId="77777777" w:rsidR="00FC5B58" w:rsidRDefault="00000000">
            <w:r>
              <w:t>Modifying facilities to allow for physical distancing (e.g., use of cohorts/podding)</w:t>
            </w:r>
          </w:p>
        </w:tc>
        <w:tc>
          <w:tcPr>
            <w:tcW w:w="1890" w:type="dxa"/>
          </w:tcPr>
          <w:p w14:paraId="6BEA98CF" w14:textId="77777777" w:rsidR="00FC5B58" w:rsidRDefault="00000000">
            <w:r>
              <w:t>Y</w:t>
            </w:r>
          </w:p>
        </w:tc>
        <w:tc>
          <w:tcPr>
            <w:tcW w:w="4590" w:type="dxa"/>
          </w:tcPr>
          <w:p w14:paraId="21F53F80" w14:textId="77777777" w:rsidR="00FC5B58" w:rsidRDefault="00000000">
            <w:r>
              <w:t xml:space="preserve">For FY2024, class sizes </w:t>
            </w:r>
            <w:proofErr w:type="gramStart"/>
            <w:r>
              <w:t>were decreased</w:t>
            </w:r>
            <w:proofErr w:type="gramEnd"/>
            <w:r>
              <w:t xml:space="preserve"> in size not to exceed 25 students. Classrooms are open during free periods to provide more indoor space with fewer students.</w:t>
            </w:r>
          </w:p>
        </w:tc>
      </w:tr>
      <w:tr w:rsidR="00FC5B58" w14:paraId="3B5279FB" w14:textId="77777777">
        <w:tc>
          <w:tcPr>
            <w:tcW w:w="4405" w:type="dxa"/>
          </w:tcPr>
          <w:p w14:paraId="7046428D" w14:textId="77777777" w:rsidR="00FC5B58" w:rsidRDefault="00000000">
            <w:r>
              <w:t>Handwashing and respiratory etiquette</w:t>
            </w:r>
          </w:p>
        </w:tc>
        <w:tc>
          <w:tcPr>
            <w:tcW w:w="1890" w:type="dxa"/>
          </w:tcPr>
          <w:p w14:paraId="5274162E" w14:textId="77777777" w:rsidR="00FC5B58" w:rsidRDefault="00000000">
            <w:r>
              <w:t>Y</w:t>
            </w:r>
          </w:p>
        </w:tc>
        <w:tc>
          <w:tcPr>
            <w:tcW w:w="4590" w:type="dxa"/>
          </w:tcPr>
          <w:p w14:paraId="4A83BF66" w14:textId="77777777" w:rsidR="00FC5B58" w:rsidRDefault="00000000">
            <w:r>
              <w:t>Procedure posted in restrooms and posted in rooms.</w:t>
            </w:r>
          </w:p>
        </w:tc>
      </w:tr>
      <w:tr w:rsidR="00FC5B58" w14:paraId="4BCCFDFC" w14:textId="77777777">
        <w:tc>
          <w:tcPr>
            <w:tcW w:w="4405" w:type="dxa"/>
          </w:tcPr>
          <w:p w14:paraId="661E686D" w14:textId="77777777" w:rsidR="00FC5B58" w:rsidRDefault="00000000">
            <w:r>
              <w:t>Cleaning and maintaining healthy facilities, including improving ventilation</w:t>
            </w:r>
          </w:p>
        </w:tc>
        <w:tc>
          <w:tcPr>
            <w:tcW w:w="1890" w:type="dxa"/>
          </w:tcPr>
          <w:p w14:paraId="3798FA0F" w14:textId="77777777" w:rsidR="00FC5B58" w:rsidRDefault="00000000">
            <w:r>
              <w:t>Y</w:t>
            </w:r>
          </w:p>
        </w:tc>
        <w:tc>
          <w:tcPr>
            <w:tcW w:w="4590" w:type="dxa"/>
          </w:tcPr>
          <w:p w14:paraId="02BDF0D6" w14:textId="77777777" w:rsidR="00FC5B58" w:rsidRDefault="00000000">
            <w:r>
              <w:t>Ventilation and air filters are available, cleaning services include frequent sanitizing.</w:t>
            </w:r>
          </w:p>
        </w:tc>
      </w:tr>
      <w:tr w:rsidR="00FC5B58" w14:paraId="42457406" w14:textId="77777777">
        <w:tc>
          <w:tcPr>
            <w:tcW w:w="4405" w:type="dxa"/>
          </w:tcPr>
          <w:p w14:paraId="123887E4" w14:textId="77777777" w:rsidR="00FC5B58" w:rsidRDefault="00000000">
            <w:r>
              <w:t>Contact tracing in combination with isolation and quarantine, in collaboration with the State, local, territorial, or Tribal health departments</w:t>
            </w:r>
          </w:p>
        </w:tc>
        <w:tc>
          <w:tcPr>
            <w:tcW w:w="1890" w:type="dxa"/>
          </w:tcPr>
          <w:p w14:paraId="1DC1EA0E" w14:textId="77777777" w:rsidR="00FC5B58" w:rsidRDefault="00000000">
            <w:r>
              <w:t>Y</w:t>
            </w:r>
          </w:p>
        </w:tc>
        <w:tc>
          <w:tcPr>
            <w:tcW w:w="4590" w:type="dxa"/>
          </w:tcPr>
          <w:p w14:paraId="333CE5B7" w14:textId="77777777" w:rsidR="00FC5B58" w:rsidRDefault="00000000">
            <w:r>
              <w:t xml:space="preserve">All families exposed and/or have COVID complete an online form and the Executive Dean reviews and communicates with others following FERPA guidelines of possible exposure. </w:t>
            </w:r>
          </w:p>
        </w:tc>
      </w:tr>
      <w:tr w:rsidR="00FC5B58" w14:paraId="4DAA9247" w14:textId="77777777">
        <w:tc>
          <w:tcPr>
            <w:tcW w:w="4405" w:type="dxa"/>
          </w:tcPr>
          <w:p w14:paraId="7D80DC26" w14:textId="77777777" w:rsidR="00FC5B58" w:rsidRDefault="00000000">
            <w:r>
              <w:t>Diagnostic and screening testing</w:t>
            </w:r>
          </w:p>
        </w:tc>
        <w:tc>
          <w:tcPr>
            <w:tcW w:w="1890" w:type="dxa"/>
          </w:tcPr>
          <w:p w14:paraId="538A9311" w14:textId="77777777" w:rsidR="00FC5B58" w:rsidRDefault="00000000">
            <w:r>
              <w:t>Y</w:t>
            </w:r>
          </w:p>
        </w:tc>
        <w:tc>
          <w:tcPr>
            <w:tcW w:w="4590" w:type="dxa"/>
          </w:tcPr>
          <w:p w14:paraId="0638D75C" w14:textId="77777777" w:rsidR="00FC5B58" w:rsidRDefault="00000000">
            <w:r>
              <w:t>Prior to the first day of school, families complete a health survey to ensure students follow CDC guidelines to attend school.</w:t>
            </w:r>
          </w:p>
        </w:tc>
      </w:tr>
      <w:tr w:rsidR="00FC5B58" w14:paraId="3A58C2CC" w14:textId="77777777">
        <w:tc>
          <w:tcPr>
            <w:tcW w:w="4405" w:type="dxa"/>
          </w:tcPr>
          <w:p w14:paraId="23BA8DEE" w14:textId="77777777" w:rsidR="00FC5B58" w:rsidRDefault="00000000">
            <w:r>
              <w:t>Efforts to provide vaccinations to school communities</w:t>
            </w:r>
          </w:p>
        </w:tc>
        <w:tc>
          <w:tcPr>
            <w:tcW w:w="1890" w:type="dxa"/>
          </w:tcPr>
          <w:p w14:paraId="46E398A9" w14:textId="77777777" w:rsidR="00FC5B58" w:rsidRDefault="00000000">
            <w:r>
              <w:t>N</w:t>
            </w:r>
          </w:p>
        </w:tc>
        <w:tc>
          <w:tcPr>
            <w:tcW w:w="4590" w:type="dxa"/>
          </w:tcPr>
          <w:p w14:paraId="246463E3" w14:textId="77777777" w:rsidR="00FC5B58" w:rsidRDefault="00FC5B58"/>
        </w:tc>
      </w:tr>
      <w:tr w:rsidR="00FC5B58" w14:paraId="3C42C8FB" w14:textId="77777777">
        <w:tc>
          <w:tcPr>
            <w:tcW w:w="4405" w:type="dxa"/>
          </w:tcPr>
          <w:p w14:paraId="7A35E2F3" w14:textId="77777777" w:rsidR="00FC5B58" w:rsidRDefault="00000000">
            <w:r>
              <w:t>Appropriate accommodations for children with disabilities with respect to health and safety policies</w:t>
            </w:r>
          </w:p>
        </w:tc>
        <w:tc>
          <w:tcPr>
            <w:tcW w:w="1890" w:type="dxa"/>
          </w:tcPr>
          <w:p w14:paraId="00507220" w14:textId="77777777" w:rsidR="00FC5B58" w:rsidRDefault="00000000">
            <w:r>
              <w:t>Y</w:t>
            </w:r>
          </w:p>
        </w:tc>
        <w:tc>
          <w:tcPr>
            <w:tcW w:w="4590" w:type="dxa"/>
          </w:tcPr>
          <w:p w14:paraId="2936F431" w14:textId="77777777" w:rsidR="00FC5B58" w:rsidRDefault="00000000">
            <w:r>
              <w:t>We follow all ESSA, IDEA, and FAPE requirements.</w:t>
            </w:r>
          </w:p>
        </w:tc>
      </w:tr>
      <w:tr w:rsidR="00FC5B58" w14:paraId="3667AF29" w14:textId="77777777">
        <w:tc>
          <w:tcPr>
            <w:tcW w:w="4405" w:type="dxa"/>
          </w:tcPr>
          <w:p w14:paraId="69250A7D" w14:textId="77777777" w:rsidR="00FC5B58" w:rsidRDefault="00000000">
            <w:r>
              <w:t>Coordination with State and local health officials</w:t>
            </w:r>
          </w:p>
        </w:tc>
        <w:tc>
          <w:tcPr>
            <w:tcW w:w="1890" w:type="dxa"/>
          </w:tcPr>
          <w:p w14:paraId="4D105E49" w14:textId="77777777" w:rsidR="00FC5B58" w:rsidRDefault="00000000">
            <w:r>
              <w:t>Y</w:t>
            </w:r>
          </w:p>
        </w:tc>
        <w:tc>
          <w:tcPr>
            <w:tcW w:w="4590" w:type="dxa"/>
          </w:tcPr>
          <w:p w14:paraId="07FE008C" w14:textId="77777777" w:rsidR="00FC5B58" w:rsidRDefault="00000000">
            <w:r>
              <w:t>Admin frequently attend webinars on new developments and use the ADHS website for updates. Information is disseminated to families.</w:t>
            </w:r>
          </w:p>
        </w:tc>
      </w:tr>
    </w:tbl>
    <w:p w14:paraId="42B7897E" w14:textId="77777777" w:rsidR="00FC5B58" w:rsidRDefault="00FC5B58">
      <w:pPr>
        <w:spacing w:after="0" w:line="240" w:lineRule="auto"/>
      </w:pPr>
    </w:p>
    <w:tbl>
      <w:tblPr>
        <w:tblStyle w:val="a5"/>
        <w:tblW w:w="10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6390"/>
      </w:tblGrid>
      <w:tr w:rsidR="00FC5B58" w14:paraId="43904583" w14:textId="77777777">
        <w:tc>
          <w:tcPr>
            <w:tcW w:w="10885" w:type="dxa"/>
            <w:gridSpan w:val="2"/>
            <w:shd w:val="clear" w:color="auto" w:fill="012169"/>
          </w:tcPr>
          <w:p w14:paraId="16227933" w14:textId="77777777" w:rsidR="00FC5B58" w:rsidRDefault="00000000">
            <w:r>
              <w:rPr>
                <w:color w:val="FFFFFF"/>
              </w:rPr>
              <w:t xml:space="preserve">How the LEA will ensure </w:t>
            </w:r>
            <w:r>
              <w:rPr>
                <w:b/>
                <w:color w:val="FFFFFF"/>
              </w:rPr>
              <w:t>continuity of services</w:t>
            </w:r>
            <w:r>
              <w:rPr>
                <w:color w:val="FFFFFF"/>
              </w:rPr>
              <w:t xml:space="preserve">, including but not limited to services to address </w:t>
            </w:r>
            <w:r>
              <w:rPr>
                <w:b/>
                <w:color w:val="FFFFFF"/>
              </w:rPr>
              <w:t>students' academic needs</w:t>
            </w:r>
            <w:r>
              <w:rPr>
                <w:color w:val="FFFFFF"/>
              </w:rPr>
              <w:t xml:space="preserve"> and </w:t>
            </w:r>
            <w:r>
              <w:rPr>
                <w:b/>
                <w:color w:val="FFFFFF"/>
              </w:rPr>
              <w:t>students' and staff social, emotional, mental health</w:t>
            </w:r>
            <w:r>
              <w:rPr>
                <w:color w:val="FFFFFF"/>
              </w:rPr>
              <w:t xml:space="preserve">, and </w:t>
            </w:r>
            <w:r>
              <w:rPr>
                <w:b/>
                <w:color w:val="FFFFFF"/>
              </w:rPr>
              <w:t>other needs</w:t>
            </w:r>
            <w:r>
              <w:rPr>
                <w:color w:val="FFFFFF"/>
              </w:rPr>
              <w:t xml:space="preserve">, which may include </w:t>
            </w:r>
            <w:r>
              <w:rPr>
                <w:b/>
                <w:color w:val="FFFFFF"/>
              </w:rPr>
              <w:t>student health and food services</w:t>
            </w:r>
          </w:p>
        </w:tc>
      </w:tr>
      <w:tr w:rsidR="00FC5B58" w14:paraId="50386298" w14:textId="77777777">
        <w:tc>
          <w:tcPr>
            <w:tcW w:w="10885" w:type="dxa"/>
            <w:gridSpan w:val="2"/>
            <w:shd w:val="clear" w:color="auto" w:fill="FCAF17"/>
          </w:tcPr>
          <w:p w14:paraId="10C77DF9" w14:textId="77777777" w:rsidR="00FC5B58" w:rsidRDefault="00000000">
            <w:pPr>
              <w:rPr>
                <w:b/>
              </w:rPr>
            </w:pPr>
            <w:r>
              <w:rPr>
                <w:b/>
              </w:rPr>
              <w:t>How the LEA will Ensure Continuity of Services?</w:t>
            </w:r>
          </w:p>
        </w:tc>
      </w:tr>
      <w:tr w:rsidR="00FC5B58" w14:paraId="79EA729D" w14:textId="77777777">
        <w:tc>
          <w:tcPr>
            <w:tcW w:w="10885" w:type="dxa"/>
            <w:gridSpan w:val="2"/>
            <w:shd w:val="clear" w:color="auto" w:fill="auto"/>
          </w:tcPr>
          <w:p w14:paraId="1E2B3058" w14:textId="77777777" w:rsidR="00FC5B58" w:rsidRDefault="00000000">
            <w:pPr>
              <w:tabs>
                <w:tab w:val="left" w:pos="2918"/>
              </w:tabs>
              <w:rPr>
                <w:b/>
              </w:rPr>
            </w:pPr>
            <w:r>
              <w:rPr>
                <w:b/>
              </w:rPr>
              <w:t>NSAA has contracted SEL professionals and paraprofessionals to support students' academic, emotional and health needs.</w:t>
            </w:r>
          </w:p>
        </w:tc>
      </w:tr>
      <w:tr w:rsidR="00FC5B58" w14:paraId="3CE54E0C" w14:textId="77777777">
        <w:tc>
          <w:tcPr>
            <w:tcW w:w="10885" w:type="dxa"/>
            <w:gridSpan w:val="2"/>
            <w:shd w:val="clear" w:color="auto" w:fill="FCAF17"/>
          </w:tcPr>
          <w:p w14:paraId="323BD84A" w14:textId="77777777" w:rsidR="00FC5B58" w:rsidRDefault="00000000">
            <w:pPr>
              <w:rPr>
                <w:b/>
              </w:rPr>
            </w:pPr>
            <w:r>
              <w:rPr>
                <w:b/>
              </w:rPr>
              <w:t>Students’ Needs:</w:t>
            </w:r>
          </w:p>
        </w:tc>
      </w:tr>
      <w:tr w:rsidR="00FC5B58" w14:paraId="26D44708" w14:textId="77777777">
        <w:tc>
          <w:tcPr>
            <w:tcW w:w="4495" w:type="dxa"/>
          </w:tcPr>
          <w:p w14:paraId="43F000EB" w14:textId="77777777" w:rsidR="00FC5B58" w:rsidRDefault="00000000">
            <w:r>
              <w:t>Academic Needs</w:t>
            </w:r>
          </w:p>
        </w:tc>
        <w:tc>
          <w:tcPr>
            <w:tcW w:w="6390" w:type="dxa"/>
          </w:tcPr>
          <w:p w14:paraId="69601A0D" w14:textId="77777777" w:rsidR="00FC5B58" w:rsidRDefault="00000000">
            <w:r>
              <w:t>Tutoring, Saturday study groups, intervention classes, frequent progress reports to monitor growth.</w:t>
            </w:r>
          </w:p>
        </w:tc>
      </w:tr>
      <w:tr w:rsidR="00FC5B58" w14:paraId="2E925B54" w14:textId="77777777">
        <w:tc>
          <w:tcPr>
            <w:tcW w:w="4495" w:type="dxa"/>
          </w:tcPr>
          <w:p w14:paraId="38B5BD5F" w14:textId="77777777" w:rsidR="00FC5B58" w:rsidRDefault="00000000">
            <w:r>
              <w:t>Social, Emotional and Mental Health Needs</w:t>
            </w:r>
          </w:p>
        </w:tc>
        <w:tc>
          <w:tcPr>
            <w:tcW w:w="6390" w:type="dxa"/>
          </w:tcPr>
          <w:p w14:paraId="2F2EB995" w14:textId="77777777" w:rsidR="00FC5B58" w:rsidRDefault="00000000">
            <w:r>
              <w:t>NSAA has contracted SEL professionals and paraprofessionals to support students’ academic, emotional and health needs.</w:t>
            </w:r>
          </w:p>
        </w:tc>
      </w:tr>
      <w:tr w:rsidR="00FC5B58" w14:paraId="7E5AF5C2" w14:textId="77777777">
        <w:tc>
          <w:tcPr>
            <w:tcW w:w="4495" w:type="dxa"/>
          </w:tcPr>
          <w:p w14:paraId="3FC662F5" w14:textId="77777777" w:rsidR="00FC5B58" w:rsidRDefault="00000000">
            <w:r>
              <w:t>Other Needs (which may include student health and food services)</w:t>
            </w:r>
          </w:p>
        </w:tc>
        <w:tc>
          <w:tcPr>
            <w:tcW w:w="6390" w:type="dxa"/>
          </w:tcPr>
          <w:p w14:paraId="38CF28BF" w14:textId="77777777" w:rsidR="00FC5B58" w:rsidRDefault="00000000">
            <w:pPr>
              <w:tabs>
                <w:tab w:val="left" w:pos="1065"/>
              </w:tabs>
            </w:pPr>
            <w:r>
              <w:t>NSAA provides referrals for non-school related needs.</w:t>
            </w:r>
            <w:r>
              <w:tab/>
            </w:r>
          </w:p>
        </w:tc>
      </w:tr>
      <w:tr w:rsidR="00FC5B58" w14:paraId="5F610C37" w14:textId="77777777">
        <w:tc>
          <w:tcPr>
            <w:tcW w:w="10885" w:type="dxa"/>
            <w:gridSpan w:val="2"/>
            <w:shd w:val="clear" w:color="auto" w:fill="FCAF17"/>
          </w:tcPr>
          <w:p w14:paraId="02931388" w14:textId="77777777" w:rsidR="00FC5B58" w:rsidRDefault="00000000">
            <w:r>
              <w:rPr>
                <w:b/>
              </w:rPr>
              <w:t>Staff Needs:</w:t>
            </w:r>
          </w:p>
        </w:tc>
      </w:tr>
      <w:tr w:rsidR="00FC5B58" w14:paraId="7D8F7B83" w14:textId="77777777">
        <w:tc>
          <w:tcPr>
            <w:tcW w:w="4495" w:type="dxa"/>
          </w:tcPr>
          <w:p w14:paraId="291E8296" w14:textId="77777777" w:rsidR="00FC5B58" w:rsidRDefault="00000000">
            <w:r>
              <w:lastRenderedPageBreak/>
              <w:t>Social, Emotional and Mental Health Needs</w:t>
            </w:r>
          </w:p>
        </w:tc>
        <w:tc>
          <w:tcPr>
            <w:tcW w:w="6390" w:type="dxa"/>
          </w:tcPr>
          <w:p w14:paraId="12846E7D" w14:textId="77777777" w:rsidR="00FC5B58" w:rsidRDefault="00000000">
            <w:r>
              <w:t>NSAA provides 12 visits to licensed therapist for support</w:t>
            </w:r>
          </w:p>
        </w:tc>
      </w:tr>
      <w:tr w:rsidR="00FC5B58" w14:paraId="7FEB2944" w14:textId="77777777">
        <w:tc>
          <w:tcPr>
            <w:tcW w:w="4495" w:type="dxa"/>
          </w:tcPr>
          <w:p w14:paraId="04824316" w14:textId="77777777" w:rsidR="00FC5B58" w:rsidRDefault="00000000">
            <w:r>
              <w:t>Other Needs</w:t>
            </w:r>
          </w:p>
        </w:tc>
        <w:tc>
          <w:tcPr>
            <w:tcW w:w="6390" w:type="dxa"/>
          </w:tcPr>
          <w:p w14:paraId="14544516" w14:textId="77777777" w:rsidR="00FC5B58" w:rsidRDefault="00000000">
            <w:r>
              <w:t>NA</w:t>
            </w:r>
          </w:p>
        </w:tc>
      </w:tr>
    </w:tbl>
    <w:p w14:paraId="7B9B1275" w14:textId="77777777" w:rsidR="00FC5B58" w:rsidRDefault="00FC5B58">
      <w:pPr>
        <w:spacing w:after="0" w:line="240" w:lineRule="auto"/>
      </w:pPr>
    </w:p>
    <w:tbl>
      <w:tblPr>
        <w:tblStyle w:val="a6"/>
        <w:tblW w:w="10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7020"/>
      </w:tblGrid>
      <w:tr w:rsidR="00FC5B58" w14:paraId="7138E101" w14:textId="77777777">
        <w:tc>
          <w:tcPr>
            <w:tcW w:w="10885" w:type="dxa"/>
            <w:gridSpan w:val="2"/>
            <w:shd w:val="clear" w:color="auto" w:fill="012169"/>
          </w:tcPr>
          <w:p w14:paraId="071FFCFB" w14:textId="77777777" w:rsidR="00FC5B58" w:rsidRDefault="00000000">
            <w:r>
              <w:rPr>
                <w:color w:val="FFFFFF"/>
              </w:rPr>
              <w:t xml:space="preserve">The LEA must </w:t>
            </w:r>
            <w:r>
              <w:rPr>
                <w:b/>
                <w:color w:val="FFFFFF"/>
              </w:rPr>
              <w:t xml:space="preserve">regularly, but </w:t>
            </w:r>
            <w:r>
              <w:rPr>
                <w:b/>
                <w:color w:val="FFFFFF"/>
                <w:u w:val="single"/>
              </w:rPr>
              <w:t>no less frequently than every six months</w:t>
            </w:r>
            <w:r>
              <w:rPr>
                <w:color w:val="FFFFFF"/>
              </w:rPr>
              <w:t xml:space="preserve"> (taking into consideration the timing of significant changes to CDC guidance on reopening schools), </w:t>
            </w:r>
            <w:r>
              <w:rPr>
                <w:b/>
                <w:color w:val="FFFFFF"/>
              </w:rPr>
              <w:t>review and, as appropriate, revise its plan</w:t>
            </w:r>
            <w:r>
              <w:rPr>
                <w:color w:val="FFFFFF"/>
              </w:rPr>
              <w:t xml:space="preserve"> for the safe return to in-person instruction and continuity of services </w:t>
            </w:r>
            <w:r>
              <w:rPr>
                <w:b/>
                <w:color w:val="FFFFFF"/>
              </w:rPr>
              <w:t>through September 30, 2023</w:t>
            </w:r>
          </w:p>
        </w:tc>
      </w:tr>
      <w:tr w:rsidR="00FC5B58" w14:paraId="0342BEAA" w14:textId="77777777">
        <w:tc>
          <w:tcPr>
            <w:tcW w:w="3865" w:type="dxa"/>
            <w:shd w:val="clear" w:color="auto" w:fill="auto"/>
          </w:tcPr>
          <w:p w14:paraId="2E1CC991" w14:textId="77777777" w:rsidR="00FC5B58" w:rsidRDefault="00000000">
            <w:pPr>
              <w:rPr>
                <w:b/>
              </w:rPr>
            </w:pPr>
            <w:r>
              <w:rPr>
                <w:b/>
              </w:rPr>
              <w:t>Date of Revision</w:t>
            </w:r>
          </w:p>
        </w:tc>
        <w:tc>
          <w:tcPr>
            <w:tcW w:w="7020" w:type="dxa"/>
            <w:shd w:val="clear" w:color="auto" w:fill="auto"/>
          </w:tcPr>
          <w:p w14:paraId="216D903A" w14:textId="6837CB2E" w:rsidR="00FC5B58" w:rsidRDefault="009250AD">
            <w:pPr>
              <w:rPr>
                <w:b/>
              </w:rPr>
            </w:pPr>
            <w:r>
              <w:rPr>
                <w:b/>
              </w:rPr>
              <w:t>July 25, 2023</w:t>
            </w:r>
          </w:p>
        </w:tc>
      </w:tr>
      <w:tr w:rsidR="00FC5B58" w14:paraId="3C15820A" w14:textId="77777777">
        <w:tc>
          <w:tcPr>
            <w:tcW w:w="10885" w:type="dxa"/>
            <w:gridSpan w:val="2"/>
            <w:shd w:val="clear" w:color="auto" w:fill="FCAF17"/>
          </w:tcPr>
          <w:p w14:paraId="32993F13" w14:textId="77777777" w:rsidR="00FC5B58" w:rsidRDefault="00000000">
            <w:pPr>
              <w:rPr>
                <w:b/>
              </w:rPr>
            </w:pPr>
            <w:r>
              <w:rPr>
                <w:b/>
              </w:rPr>
              <w:t>Public Input</w:t>
            </w:r>
          </w:p>
        </w:tc>
      </w:tr>
      <w:tr w:rsidR="00FC5B58" w14:paraId="0E3A2F6C" w14:textId="77777777">
        <w:tc>
          <w:tcPr>
            <w:tcW w:w="3865" w:type="dxa"/>
          </w:tcPr>
          <w:p w14:paraId="202A84B7" w14:textId="77777777" w:rsidR="00FC5B58" w:rsidRDefault="00000000">
            <w:r>
              <w:t xml:space="preserve">Describe the process used to seek public input, and how that input was </w:t>
            </w:r>
            <w:proofErr w:type="gramStart"/>
            <w:r>
              <w:t>taken into account</w:t>
            </w:r>
            <w:proofErr w:type="gramEnd"/>
            <w:r>
              <w:t xml:space="preserve"> in the revision of the plan:</w:t>
            </w:r>
          </w:p>
        </w:tc>
        <w:tc>
          <w:tcPr>
            <w:tcW w:w="7020" w:type="dxa"/>
          </w:tcPr>
          <w:p w14:paraId="1A32141C" w14:textId="77777777" w:rsidR="00FC5B58" w:rsidRDefault="00000000">
            <w:r>
              <w:t>NSAA faculty, staff and families complete an online survey regarding required guidelines and concerns. The results are reviewed by school leaders and any revisions are posted and addressed.</w:t>
            </w:r>
          </w:p>
        </w:tc>
      </w:tr>
    </w:tbl>
    <w:p w14:paraId="6939ED04" w14:textId="77777777" w:rsidR="00FC5B58" w:rsidRDefault="00FC5B58">
      <w:pPr>
        <w:tabs>
          <w:tab w:val="right" w:pos="9360"/>
        </w:tabs>
        <w:spacing w:after="0" w:line="240" w:lineRule="auto"/>
        <w:jc w:val="center"/>
        <w:rPr>
          <w:b/>
          <w:color w:val="012169"/>
          <w:sz w:val="32"/>
          <w:szCs w:val="32"/>
        </w:rPr>
      </w:pPr>
    </w:p>
    <w:p w14:paraId="6E46A7CA" w14:textId="77777777" w:rsidR="00FC5B58" w:rsidRDefault="00000000">
      <w:pPr>
        <w:spacing w:after="0" w:line="240" w:lineRule="auto"/>
        <w:rPr>
          <w:b/>
          <w:sz w:val="24"/>
          <w:szCs w:val="24"/>
          <w:u w:val="single"/>
        </w:rPr>
      </w:pPr>
      <w:r>
        <w:rPr>
          <w:b/>
          <w:sz w:val="32"/>
          <w:szCs w:val="32"/>
          <w:u w:val="single"/>
        </w:rPr>
        <w:t>U.S. Department of Education Interim Final Rule (IFR)</w:t>
      </w:r>
    </w:p>
    <w:p w14:paraId="279FDB75" w14:textId="77777777" w:rsidR="00FC5B58" w:rsidRDefault="00FC5B58">
      <w:pPr>
        <w:spacing w:after="0" w:line="240" w:lineRule="auto"/>
        <w:rPr>
          <w:b/>
          <w:sz w:val="24"/>
          <w:szCs w:val="24"/>
        </w:rPr>
      </w:pPr>
    </w:p>
    <w:p w14:paraId="3AB2E0B6" w14:textId="77777777" w:rsidR="00FC5B58" w:rsidRDefault="00000000">
      <w:pPr>
        <w:numPr>
          <w:ilvl w:val="0"/>
          <w:numId w:val="5"/>
        </w:numPr>
        <w:spacing w:after="0" w:line="240" w:lineRule="auto"/>
        <w:rPr>
          <w:b/>
          <w:sz w:val="28"/>
          <w:szCs w:val="28"/>
        </w:rPr>
      </w:pPr>
      <w:r>
        <w:rPr>
          <w:b/>
          <w:sz w:val="28"/>
          <w:szCs w:val="28"/>
        </w:rPr>
        <w:t xml:space="preserve">LEA Plan for Safe Return to In-Person Instruction and Continuity of Services </w:t>
      </w:r>
    </w:p>
    <w:p w14:paraId="7B636B59" w14:textId="77777777" w:rsidR="00FC5B58" w:rsidRDefault="00000000">
      <w:pPr>
        <w:numPr>
          <w:ilvl w:val="0"/>
          <w:numId w:val="6"/>
        </w:numPr>
        <w:spacing w:after="0" w:line="240" w:lineRule="auto"/>
        <w:ind w:left="1080"/>
      </w:pPr>
      <w:r>
        <w:t>An LEA must describe in its plan under section 2001(</w:t>
      </w:r>
      <w:proofErr w:type="spellStart"/>
      <w:r>
        <w:t>i</w:t>
      </w:r>
      <w:proofErr w:type="spellEnd"/>
      <w:r>
        <w:t>)(1) of the ARP Act for the safe return to in-person instruction and continuity of services—</w:t>
      </w:r>
    </w:p>
    <w:p w14:paraId="301A2F3E" w14:textId="77777777" w:rsidR="00FC5B58" w:rsidRDefault="00000000">
      <w:pPr>
        <w:numPr>
          <w:ilvl w:val="0"/>
          <w:numId w:val="7"/>
        </w:numPr>
        <w:spacing w:after="0" w:line="240" w:lineRule="auto"/>
        <w:ind w:left="1800"/>
      </w:pPr>
      <w:r>
        <w:t>how it will maintain the health and safety of students, educators, and other staff and the extent to which it has adopted policies, and a description of any such policies, on each of the following safety recommendations established by the CDC:</w:t>
      </w:r>
    </w:p>
    <w:p w14:paraId="77932560" w14:textId="77777777" w:rsidR="00FC5B58" w:rsidRDefault="00000000">
      <w:pPr>
        <w:numPr>
          <w:ilvl w:val="0"/>
          <w:numId w:val="1"/>
        </w:numPr>
        <w:spacing w:after="0" w:line="240" w:lineRule="auto"/>
        <w:ind w:left="1800"/>
      </w:pPr>
      <w:r>
        <w:t>Universal and correct wearing of masks.</w:t>
      </w:r>
    </w:p>
    <w:p w14:paraId="630DDB7E" w14:textId="77777777" w:rsidR="00FC5B58" w:rsidRDefault="00000000">
      <w:pPr>
        <w:numPr>
          <w:ilvl w:val="0"/>
          <w:numId w:val="1"/>
        </w:numPr>
        <w:spacing w:after="0" w:line="240" w:lineRule="auto"/>
        <w:ind w:left="1800"/>
      </w:pPr>
      <w:r>
        <w:t>Modifying facilities to allow for physical distancing (</w:t>
      </w:r>
      <w:r>
        <w:rPr>
          <w:i/>
        </w:rPr>
        <w:t>e.g.,</w:t>
      </w:r>
      <w:r>
        <w:t xml:space="preserve"> use of cohorts/podding)</w:t>
      </w:r>
    </w:p>
    <w:p w14:paraId="25AA6849" w14:textId="77777777" w:rsidR="00FC5B58" w:rsidRDefault="00000000">
      <w:pPr>
        <w:numPr>
          <w:ilvl w:val="0"/>
          <w:numId w:val="1"/>
        </w:numPr>
        <w:spacing w:after="0" w:line="240" w:lineRule="auto"/>
        <w:ind w:left="1800"/>
      </w:pPr>
      <w:r>
        <w:t>Handwashing and respiratory etiquette.</w:t>
      </w:r>
    </w:p>
    <w:p w14:paraId="156F877F" w14:textId="77777777" w:rsidR="00FC5B58" w:rsidRDefault="00000000">
      <w:pPr>
        <w:numPr>
          <w:ilvl w:val="0"/>
          <w:numId w:val="1"/>
        </w:numPr>
        <w:spacing w:after="0" w:line="240" w:lineRule="auto"/>
        <w:ind w:left="1800"/>
      </w:pPr>
      <w:r>
        <w:t>Cleaning and maintaining healthy facilities, including improving ventilation.</w:t>
      </w:r>
    </w:p>
    <w:p w14:paraId="72ADD7D8" w14:textId="77777777" w:rsidR="00FC5B58" w:rsidRDefault="00000000">
      <w:pPr>
        <w:numPr>
          <w:ilvl w:val="0"/>
          <w:numId w:val="1"/>
        </w:numPr>
        <w:spacing w:after="0" w:line="240" w:lineRule="auto"/>
        <w:ind w:left="1800"/>
      </w:pPr>
      <w:r>
        <w:t>Contact tracing in combination with isolation and quarantine, in collaboration with the State, local, territorial, or Tribal health departments.</w:t>
      </w:r>
    </w:p>
    <w:p w14:paraId="123E68F7" w14:textId="77777777" w:rsidR="00FC5B58" w:rsidRDefault="00000000">
      <w:pPr>
        <w:numPr>
          <w:ilvl w:val="0"/>
          <w:numId w:val="1"/>
        </w:numPr>
        <w:spacing w:after="0" w:line="240" w:lineRule="auto"/>
        <w:ind w:left="1800"/>
      </w:pPr>
      <w:r>
        <w:t>Diagnostic and screening testing.</w:t>
      </w:r>
    </w:p>
    <w:p w14:paraId="7F4D89FE" w14:textId="77777777" w:rsidR="00FC5B58" w:rsidRDefault="00000000">
      <w:pPr>
        <w:numPr>
          <w:ilvl w:val="0"/>
          <w:numId w:val="1"/>
        </w:numPr>
        <w:spacing w:after="0" w:line="240" w:lineRule="auto"/>
        <w:ind w:left="1800"/>
      </w:pPr>
      <w:r>
        <w:t>Efforts to provide vaccinations to school communities.</w:t>
      </w:r>
    </w:p>
    <w:p w14:paraId="5CB3D34D" w14:textId="77777777" w:rsidR="00FC5B58" w:rsidRDefault="00000000">
      <w:pPr>
        <w:numPr>
          <w:ilvl w:val="0"/>
          <w:numId w:val="1"/>
        </w:numPr>
        <w:spacing w:after="0" w:line="240" w:lineRule="auto"/>
        <w:ind w:left="1800"/>
      </w:pPr>
      <w:r>
        <w:t xml:space="preserve">Appropriate </w:t>
      </w:r>
      <w:proofErr w:type="gramStart"/>
      <w:r>
        <w:t>accommodations</w:t>
      </w:r>
      <w:proofErr w:type="gramEnd"/>
      <w:r>
        <w:t xml:space="preserve"> for children with disabilities with respect to health and safety policies.</w:t>
      </w:r>
    </w:p>
    <w:p w14:paraId="79BE1EE4" w14:textId="77777777" w:rsidR="00FC5B58" w:rsidRDefault="00000000">
      <w:pPr>
        <w:numPr>
          <w:ilvl w:val="0"/>
          <w:numId w:val="1"/>
        </w:numPr>
        <w:spacing w:after="0" w:line="240" w:lineRule="auto"/>
        <w:ind w:left="1800"/>
      </w:pPr>
      <w:r>
        <w:t>Coordination with State and local health officials.</w:t>
      </w:r>
    </w:p>
    <w:p w14:paraId="0DB3FC94" w14:textId="77777777" w:rsidR="00FC5B58" w:rsidRDefault="00000000">
      <w:pPr>
        <w:numPr>
          <w:ilvl w:val="0"/>
          <w:numId w:val="7"/>
        </w:numPr>
        <w:spacing w:after="0" w:line="240" w:lineRule="auto"/>
        <w:ind w:left="1800"/>
      </w:pPr>
      <w:r>
        <w:t>how it will ensure continuity of services, including but not limited to services to address students' academic needs and students' and staff social, emotional, mental health, and other needs, which may include student health and food services.</w:t>
      </w:r>
    </w:p>
    <w:p w14:paraId="4CED7509" w14:textId="77777777" w:rsidR="00FC5B58" w:rsidRDefault="00FC5B58">
      <w:pPr>
        <w:spacing w:after="0" w:line="240" w:lineRule="auto"/>
        <w:ind w:left="1800"/>
      </w:pPr>
    </w:p>
    <w:p w14:paraId="4CAFA7BF" w14:textId="77777777" w:rsidR="00FC5B58" w:rsidRDefault="00000000">
      <w:pPr>
        <w:spacing w:after="0" w:line="240" w:lineRule="auto"/>
        <w:ind w:left="720"/>
      </w:pPr>
      <w:r>
        <w:t>(b)(</w:t>
      </w:r>
      <w:proofErr w:type="spellStart"/>
      <w:r>
        <w:t>i</w:t>
      </w:r>
      <w:proofErr w:type="spellEnd"/>
      <w:r>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09C31D30" w14:textId="77777777" w:rsidR="00FC5B58" w:rsidRDefault="00000000">
      <w:pPr>
        <w:numPr>
          <w:ilvl w:val="0"/>
          <w:numId w:val="3"/>
        </w:numPr>
        <w:spacing w:after="0" w:line="240" w:lineRule="auto"/>
        <w:ind w:left="1800"/>
      </w:pPr>
      <w:r>
        <w:t xml:space="preserve">In determining whether revisions are necessary, and in making any revisions, the LEA must seek public input and take such input into </w:t>
      </w:r>
      <w:proofErr w:type="gramStart"/>
      <w:r>
        <w:t>account</w:t>
      </w:r>
      <w:proofErr w:type="gramEnd"/>
    </w:p>
    <w:p w14:paraId="1D4362E7" w14:textId="77777777" w:rsidR="00FC5B58" w:rsidRDefault="00000000">
      <w:pPr>
        <w:numPr>
          <w:ilvl w:val="0"/>
          <w:numId w:val="3"/>
        </w:numPr>
        <w:spacing w:after="0" w:line="240" w:lineRule="auto"/>
        <w:ind w:left="1800"/>
      </w:pPr>
      <w:r>
        <w:t>If at the time the LEA revises its plan the CDC has updated its guidance on reopening schools, the revised plan must address the extent to which the LEA has adopted policies, and describe any such policies, for each of the updated safety recommendations.</w:t>
      </w:r>
    </w:p>
    <w:p w14:paraId="3D35EEB1" w14:textId="77777777" w:rsidR="00FC5B58" w:rsidRDefault="00FC5B58">
      <w:pPr>
        <w:spacing w:after="0" w:line="240" w:lineRule="auto"/>
        <w:ind w:left="720"/>
      </w:pPr>
    </w:p>
    <w:p w14:paraId="5912CDAC" w14:textId="77777777" w:rsidR="00FC5B58" w:rsidRDefault="00000000">
      <w:pPr>
        <w:numPr>
          <w:ilvl w:val="0"/>
          <w:numId w:val="4"/>
        </w:numPr>
        <w:spacing w:after="0" w:line="240" w:lineRule="auto"/>
      </w:pPr>
      <w:r>
        <w:t>If an LEA developed a plan prior to enactment of the ARP Act that meets the statutory requirements of section 2001(</w:t>
      </w:r>
      <w:proofErr w:type="spellStart"/>
      <w:r>
        <w:t>i</w:t>
      </w:r>
      <w:proofErr w:type="spellEnd"/>
      <w:r>
        <w:t>)(1) and (2) of the ARP Act but does not address all the requirements in paragraph (a), the LEA must, pursuant to paragraph (b), revise and post its plan no later than six months after receiving its ARP ESSER funds to meet the requirements in paragraph (a).</w:t>
      </w:r>
    </w:p>
    <w:p w14:paraId="4169235D" w14:textId="77777777" w:rsidR="00FC5B58" w:rsidRDefault="00FC5B58">
      <w:pPr>
        <w:spacing w:after="0" w:line="240" w:lineRule="auto"/>
        <w:ind w:left="1080"/>
      </w:pPr>
    </w:p>
    <w:p w14:paraId="797E857E" w14:textId="77777777" w:rsidR="00FC5B58" w:rsidRDefault="00000000">
      <w:pPr>
        <w:numPr>
          <w:ilvl w:val="0"/>
          <w:numId w:val="4"/>
        </w:numPr>
        <w:spacing w:after="0" w:line="240" w:lineRule="auto"/>
      </w:pPr>
      <w:r>
        <w:t>An LEA's plan under section 2001(</w:t>
      </w:r>
      <w:proofErr w:type="spellStart"/>
      <w:r>
        <w:t>i</w:t>
      </w:r>
      <w:proofErr w:type="spellEnd"/>
      <w:r>
        <w:t>)(1) of the ARP Act for the safe return to in-person instruction and continuity of services must be—</w:t>
      </w:r>
    </w:p>
    <w:p w14:paraId="05D42365" w14:textId="77777777" w:rsidR="00FC5B58" w:rsidRDefault="00000000">
      <w:pPr>
        <w:numPr>
          <w:ilvl w:val="0"/>
          <w:numId w:val="2"/>
        </w:numPr>
        <w:spacing w:after="0" w:line="240" w:lineRule="auto"/>
        <w:ind w:left="1800"/>
      </w:pPr>
      <w:r>
        <w:lastRenderedPageBreak/>
        <w:t xml:space="preserve">In an understandable and uniform </w:t>
      </w:r>
      <w:proofErr w:type="gramStart"/>
      <w:r>
        <w:t>format;</w:t>
      </w:r>
      <w:proofErr w:type="gramEnd"/>
    </w:p>
    <w:p w14:paraId="365E8D78" w14:textId="77777777" w:rsidR="00FC5B58" w:rsidRDefault="00000000">
      <w:pPr>
        <w:numPr>
          <w:ilvl w:val="0"/>
          <w:numId w:val="2"/>
        </w:numPr>
        <w:spacing w:after="0" w:line="240" w:lineRule="auto"/>
        <w:ind w:left="1800"/>
      </w:pPr>
      <w:r>
        <w:t>To the extent practicable, written in a language that parents can understand or, if it is not practicable to provide written translations to a parent with limited English proficiency, be orally translated for such parent; an</w:t>
      </w:r>
    </w:p>
    <w:p w14:paraId="6465FBC6" w14:textId="77777777" w:rsidR="00FC5B58" w:rsidRDefault="00000000">
      <w:pPr>
        <w:numPr>
          <w:ilvl w:val="0"/>
          <w:numId w:val="2"/>
        </w:numPr>
        <w:spacing w:after="0" w:line="240" w:lineRule="auto"/>
        <w:ind w:left="1800"/>
      </w:pPr>
      <w:r>
        <w:t xml:space="preserve">Upon request by a parent who is an individual with a disability as defined by the ADA, provided in an alternative format accessible to that </w:t>
      </w:r>
      <w:proofErr w:type="gramStart"/>
      <w:r>
        <w:t>parent</w:t>
      </w:r>
      <w:proofErr w:type="gramEnd"/>
    </w:p>
    <w:p w14:paraId="3778CA33" w14:textId="77777777" w:rsidR="00FC5B58" w:rsidRDefault="00FC5B58">
      <w:pPr>
        <w:tabs>
          <w:tab w:val="right" w:pos="9360"/>
        </w:tabs>
        <w:spacing w:after="0" w:line="240" w:lineRule="auto"/>
        <w:jc w:val="center"/>
        <w:rPr>
          <w:b/>
          <w:color w:val="012169"/>
          <w:sz w:val="32"/>
          <w:szCs w:val="32"/>
        </w:rPr>
      </w:pPr>
    </w:p>
    <w:p w14:paraId="2FF1D641" w14:textId="77777777" w:rsidR="00FC5B58" w:rsidRDefault="00FC5B58">
      <w:pPr>
        <w:tabs>
          <w:tab w:val="right" w:pos="9360"/>
        </w:tabs>
        <w:spacing w:after="0" w:line="240" w:lineRule="auto"/>
        <w:jc w:val="center"/>
        <w:rPr>
          <w:b/>
          <w:color w:val="012169"/>
          <w:sz w:val="32"/>
          <w:szCs w:val="32"/>
        </w:rPr>
      </w:pPr>
    </w:p>
    <w:sectPr w:rsidR="00FC5B58">
      <w:headerReference w:type="default" r:id="rId8"/>
      <w:pgSz w:w="12240" w:h="15840"/>
      <w:pgMar w:top="720" w:right="720" w:bottom="45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B6F8" w14:textId="77777777" w:rsidR="00E87EA5" w:rsidRDefault="00E87EA5">
      <w:pPr>
        <w:spacing w:after="0" w:line="240" w:lineRule="auto"/>
      </w:pPr>
      <w:r>
        <w:separator/>
      </w:r>
    </w:p>
  </w:endnote>
  <w:endnote w:type="continuationSeparator" w:id="0">
    <w:p w14:paraId="73B5C8E1" w14:textId="77777777" w:rsidR="00E87EA5" w:rsidRDefault="00E8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6A4C" w14:textId="77777777" w:rsidR="00E87EA5" w:rsidRDefault="00E87EA5">
      <w:pPr>
        <w:spacing w:after="0" w:line="240" w:lineRule="auto"/>
      </w:pPr>
      <w:r>
        <w:separator/>
      </w:r>
    </w:p>
  </w:footnote>
  <w:footnote w:type="continuationSeparator" w:id="0">
    <w:p w14:paraId="2816D823" w14:textId="77777777" w:rsidR="00E87EA5" w:rsidRDefault="00E87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E93" w14:textId="77777777" w:rsidR="00FC5B58"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06177A66" wp14:editId="4DBF3D12">
              <wp:simplePos x="0" y="0"/>
              <wp:positionH relativeFrom="column">
                <wp:posOffset>-12699</wp:posOffset>
              </wp:positionH>
              <wp:positionV relativeFrom="paragraph">
                <wp:posOffset>-76199</wp:posOffset>
              </wp:positionV>
              <wp:extent cx="5953125" cy="64769"/>
              <wp:effectExtent l="0" t="0" r="0" b="0"/>
              <wp:wrapNone/>
              <wp:docPr id="21" name="Rectangle 21"/>
              <wp:cNvGraphicFramePr/>
              <a:graphic xmlns:a="http://schemas.openxmlformats.org/drawingml/2006/main">
                <a:graphicData uri="http://schemas.microsoft.com/office/word/2010/wordprocessingShape">
                  <wps:wsp>
                    <wps:cNvSpPr/>
                    <wps:spPr>
                      <a:xfrm rot="10800000" flipH="1">
                        <a:off x="2378963" y="3757141"/>
                        <a:ext cx="5934075" cy="45719"/>
                      </a:xfrm>
                      <a:prstGeom prst="rect">
                        <a:avLst/>
                      </a:prstGeom>
                      <a:solidFill>
                        <a:srgbClr val="BF0D3E"/>
                      </a:solidFill>
                      <a:ln>
                        <a:noFill/>
                      </a:ln>
                    </wps:spPr>
                    <wps:txbx>
                      <w:txbxContent>
                        <w:p w14:paraId="6E599538" w14:textId="77777777" w:rsidR="00FC5B58" w:rsidRDefault="00FC5B5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-76199</wp:posOffset>
              </wp:positionV>
              <wp:extent cx="5953125" cy="64769"/>
              <wp:effectExtent b="0" l="0" r="0" t="0"/>
              <wp:wrapNone/>
              <wp:docPr id="2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53125" cy="64769"/>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C96C736" wp14:editId="7F653D21">
              <wp:simplePos x="0" y="0"/>
              <wp:positionH relativeFrom="column">
                <wp:posOffset>-12699</wp:posOffset>
              </wp:positionH>
              <wp:positionV relativeFrom="paragraph">
                <wp:posOffset>-12699</wp:posOffset>
              </wp:positionV>
              <wp:extent cx="5953125" cy="379095"/>
              <wp:effectExtent l="0" t="0" r="0" b="0"/>
              <wp:wrapNone/>
              <wp:docPr id="20" name="Rectangle 20"/>
              <wp:cNvGraphicFramePr/>
              <a:graphic xmlns:a="http://schemas.openxmlformats.org/drawingml/2006/main">
                <a:graphicData uri="http://schemas.microsoft.com/office/word/2010/wordprocessingShape">
                  <wps:wsp>
                    <wps:cNvSpPr/>
                    <wps:spPr>
                      <a:xfrm>
                        <a:off x="2378963" y="3599978"/>
                        <a:ext cx="5934075" cy="360045"/>
                      </a:xfrm>
                      <a:prstGeom prst="rect">
                        <a:avLst/>
                      </a:prstGeom>
                      <a:solidFill>
                        <a:srgbClr val="012169"/>
                      </a:solidFill>
                      <a:ln>
                        <a:noFill/>
                      </a:ln>
                    </wps:spPr>
                    <wps:txbx>
                      <w:txbxContent>
                        <w:p w14:paraId="0D75A74F" w14:textId="77777777" w:rsidR="00FC5B58" w:rsidRDefault="00FC5B5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953125" cy="379095"/>
              <wp:effectExtent b="0" l="0" r="0" t="0"/>
              <wp:wrapNone/>
              <wp:docPr id="2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53125" cy="3790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9E70502" wp14:editId="5EB81ED4">
              <wp:simplePos x="0" y="0"/>
              <wp:positionH relativeFrom="column">
                <wp:posOffset>-12699</wp:posOffset>
              </wp:positionH>
              <wp:positionV relativeFrom="paragraph">
                <wp:posOffset>0</wp:posOffset>
              </wp:positionV>
              <wp:extent cx="5964307" cy="340360"/>
              <wp:effectExtent l="0" t="0" r="0" b="0"/>
              <wp:wrapNone/>
              <wp:docPr id="22" name="Rectangle 22"/>
              <wp:cNvGraphicFramePr/>
              <a:graphic xmlns:a="http://schemas.openxmlformats.org/drawingml/2006/main">
                <a:graphicData uri="http://schemas.microsoft.com/office/word/2010/wordprocessingShape">
                  <wps:wsp>
                    <wps:cNvSpPr/>
                    <wps:spPr>
                      <a:xfrm>
                        <a:off x="2373372" y="3619345"/>
                        <a:ext cx="5945257" cy="321310"/>
                      </a:xfrm>
                      <a:prstGeom prst="rect">
                        <a:avLst/>
                      </a:prstGeom>
                      <a:noFill/>
                      <a:ln>
                        <a:noFill/>
                      </a:ln>
                    </wps:spPr>
                    <wps:txbx>
                      <w:txbxContent>
                        <w:p w14:paraId="1C58E5B7" w14:textId="77777777" w:rsidR="00FC5B58" w:rsidRDefault="00000000">
                          <w:pPr>
                            <w:spacing w:line="258" w:lineRule="auto"/>
                            <w:jc w:val="center"/>
                            <w:textDirection w:val="btLr"/>
                          </w:pPr>
                          <w:r>
                            <w:rPr>
                              <w:rFonts w:ascii="Arial" w:eastAsia="Arial" w:hAnsi="Arial" w:cs="Arial"/>
                              <w:b/>
                              <w:color w:val="FFFFFF"/>
                              <w:sz w:val="24"/>
                            </w:rPr>
                            <w:t>Safe Return to In-Person Instruction and Continuity of Services Plan (ARP Act)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5964307" cy="340360"/>
              <wp:effectExtent b="0" l="0" r="0" t="0"/>
              <wp:wrapNone/>
              <wp:docPr id="2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64307" cy="34036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58838394" wp14:editId="485BB96E">
          <wp:simplePos x="0" y="0"/>
          <wp:positionH relativeFrom="column">
            <wp:posOffset>6213475</wp:posOffset>
          </wp:positionH>
          <wp:positionV relativeFrom="paragraph">
            <wp:posOffset>-76198</wp:posOffset>
          </wp:positionV>
          <wp:extent cx="457200" cy="457200"/>
          <wp:effectExtent l="0" t="0" r="0" b="0"/>
          <wp:wrapNone/>
          <wp:docPr id="24"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4"/>
                  <a:srcRect/>
                  <a:stretch>
                    <a:fillRect/>
                  </a:stretch>
                </pic:blipFill>
                <pic:spPr>
                  <a:xfrm>
                    <a:off x="0" y="0"/>
                    <a:ext cx="457200" cy="457200"/>
                  </a:xfrm>
                  <a:prstGeom prst="rect">
                    <a:avLst/>
                  </a:prstGeom>
                  <a:ln/>
                </pic:spPr>
              </pic:pic>
            </a:graphicData>
          </a:graphic>
        </wp:anchor>
      </w:drawing>
    </w:r>
  </w:p>
  <w:p w14:paraId="60F35F4C" w14:textId="77777777" w:rsidR="00FC5B58"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62336" behindDoc="0" locked="0" layoutInCell="1" hidden="0" allowOverlap="1" wp14:anchorId="01E583B0" wp14:editId="5CF9986E">
              <wp:simplePos x="0" y="0"/>
              <wp:positionH relativeFrom="column">
                <wp:posOffset>-12699</wp:posOffset>
              </wp:positionH>
              <wp:positionV relativeFrom="paragraph">
                <wp:posOffset>165100</wp:posOffset>
              </wp:positionV>
              <wp:extent cx="5953125" cy="64769"/>
              <wp:effectExtent l="0" t="0" r="0" b="0"/>
              <wp:wrapNone/>
              <wp:docPr id="23" name="Rectangle 23"/>
              <wp:cNvGraphicFramePr/>
              <a:graphic xmlns:a="http://schemas.openxmlformats.org/drawingml/2006/main">
                <a:graphicData uri="http://schemas.microsoft.com/office/word/2010/wordprocessingShape">
                  <wps:wsp>
                    <wps:cNvSpPr/>
                    <wps:spPr>
                      <a:xfrm rot="10800000" flipH="1">
                        <a:off x="2378963" y="3757141"/>
                        <a:ext cx="5934075" cy="45719"/>
                      </a:xfrm>
                      <a:prstGeom prst="rect">
                        <a:avLst/>
                      </a:prstGeom>
                      <a:solidFill>
                        <a:srgbClr val="FCAF17"/>
                      </a:solidFill>
                      <a:ln>
                        <a:noFill/>
                      </a:ln>
                    </wps:spPr>
                    <wps:txbx>
                      <w:txbxContent>
                        <w:p w14:paraId="2C440CC7" w14:textId="77777777" w:rsidR="00FC5B58" w:rsidRDefault="00FC5B5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5953125" cy="64769"/>
              <wp:effectExtent b="0" l="0" r="0" t="0"/>
              <wp:wrapNone/>
              <wp:docPr id="23"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5953125" cy="6476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B6A"/>
    <w:multiLevelType w:val="multilevel"/>
    <w:tmpl w:val="09C05CEE"/>
    <w:lvl w:ilvl="0">
      <w:start w:val="3"/>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86C1786"/>
    <w:multiLevelType w:val="multilevel"/>
    <w:tmpl w:val="564C3AE2"/>
    <w:lvl w:ilvl="0">
      <w:start w:val="1"/>
      <w:numFmt w:val="upperLetter"/>
      <w:lvlText w:val="(%1)"/>
      <w:lvlJc w:val="left"/>
      <w:pPr>
        <w:ind w:left="-4680" w:hanging="360"/>
      </w:pPr>
    </w:lvl>
    <w:lvl w:ilvl="1">
      <w:start w:val="1"/>
      <w:numFmt w:val="lowerLetter"/>
      <w:lvlText w:val="%2."/>
      <w:lvlJc w:val="left"/>
      <w:pPr>
        <w:ind w:left="-3960" w:hanging="360"/>
      </w:pPr>
    </w:lvl>
    <w:lvl w:ilvl="2">
      <w:start w:val="1"/>
      <w:numFmt w:val="lowerRoman"/>
      <w:lvlText w:val="%3."/>
      <w:lvlJc w:val="right"/>
      <w:pPr>
        <w:ind w:left="-3240" w:hanging="180"/>
      </w:pPr>
    </w:lvl>
    <w:lvl w:ilvl="3">
      <w:start w:val="1"/>
      <w:numFmt w:val="decimal"/>
      <w:lvlText w:val="%4."/>
      <w:lvlJc w:val="left"/>
      <w:pPr>
        <w:ind w:left="-2520" w:hanging="360"/>
      </w:pPr>
    </w:lvl>
    <w:lvl w:ilvl="4">
      <w:start w:val="1"/>
      <w:numFmt w:val="lowerLetter"/>
      <w:lvlText w:val="%5."/>
      <w:lvlJc w:val="left"/>
      <w:pPr>
        <w:ind w:left="-1800" w:hanging="360"/>
      </w:pPr>
    </w:lvl>
    <w:lvl w:ilvl="5">
      <w:start w:val="1"/>
      <w:numFmt w:val="lowerRoman"/>
      <w:lvlText w:val="%6."/>
      <w:lvlJc w:val="right"/>
      <w:pPr>
        <w:ind w:left="-1080" w:hanging="18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right"/>
      <w:pPr>
        <w:ind w:left="1080" w:hanging="180"/>
      </w:pPr>
    </w:lvl>
  </w:abstractNum>
  <w:abstractNum w:abstractNumId="2" w15:restartNumberingAfterBreak="0">
    <w:nsid w:val="1879186B"/>
    <w:multiLevelType w:val="multilevel"/>
    <w:tmpl w:val="EFB21C18"/>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545F1F"/>
    <w:multiLevelType w:val="multilevel"/>
    <w:tmpl w:val="EA90134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AF712C"/>
    <w:multiLevelType w:val="multilevel"/>
    <w:tmpl w:val="FC4C9A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E13BDE"/>
    <w:multiLevelType w:val="multilevel"/>
    <w:tmpl w:val="FB52F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746EF1"/>
    <w:multiLevelType w:val="multilevel"/>
    <w:tmpl w:val="E44487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60006703">
    <w:abstractNumId w:val="1"/>
  </w:num>
  <w:num w:numId="2" w16cid:durableId="442116180">
    <w:abstractNumId w:val="4"/>
  </w:num>
  <w:num w:numId="3" w16cid:durableId="2123956795">
    <w:abstractNumId w:val="2"/>
  </w:num>
  <w:num w:numId="4" w16cid:durableId="45570474">
    <w:abstractNumId w:val="0"/>
  </w:num>
  <w:num w:numId="5" w16cid:durableId="1499930606">
    <w:abstractNumId w:val="5"/>
  </w:num>
  <w:num w:numId="6" w16cid:durableId="145516869">
    <w:abstractNumId w:val="6"/>
  </w:num>
  <w:num w:numId="7" w16cid:durableId="858667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B58"/>
    <w:rsid w:val="009250AD"/>
    <w:rsid w:val="00E87EA5"/>
    <w:rsid w:val="00FC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DF36"/>
  <w15:docId w15:val="{6DD19F69-F602-49ED-AF1E-DCA71445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G6G0RRtJvzaMWNsAu5eW26ynUQ==">CgMxLjA4AHIhMVlxRmE2dlZmYmtBdVN3eks5ZlhOUDZSdXJXblp2d0lp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Garelli, Rebecca</dc:creator>
  <cp:lastModifiedBy>katy cardenas</cp:lastModifiedBy>
  <cp:revision>2</cp:revision>
  <dcterms:created xsi:type="dcterms:W3CDTF">2023-10-03T15:54:00Z</dcterms:created>
  <dcterms:modified xsi:type="dcterms:W3CDTF">2023-10-03T15:54:00Z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